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5FB8" w14:textId="57AE8EE3"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2836FC6A" w:rsidR="00BD4CE5" w:rsidRPr="00747AB8" w:rsidRDefault="008212AC" w:rsidP="00BD4CE5">
      <w:pPr>
        <w:spacing w:after="0"/>
        <w:rPr>
          <w:rFonts w:ascii="Times New Roman" w:hAnsi="Times New Roman"/>
          <w:sz w:val="23"/>
          <w:szCs w:val="23"/>
        </w:rPr>
      </w:pPr>
      <w:r>
        <w:rPr>
          <w:rFonts w:ascii="Times New Roman" w:hAnsi="Times New Roman"/>
          <w:sz w:val="18"/>
          <w:szCs w:val="18"/>
        </w:rPr>
        <w:t>6</w:t>
      </w:r>
      <w:r w:rsidR="0079415C" w:rsidRPr="0079415C">
        <w:rPr>
          <w:rFonts w:ascii="Times New Roman" w:hAnsi="Times New Roman"/>
          <w:sz w:val="18"/>
          <w:szCs w:val="18"/>
          <w:vertAlign w:val="superscript"/>
        </w:rPr>
        <w:t>th</w:t>
      </w:r>
      <w:r w:rsidR="0079415C">
        <w:rPr>
          <w:rFonts w:ascii="Times New Roman" w:hAnsi="Times New Roman"/>
          <w:sz w:val="18"/>
          <w:szCs w:val="18"/>
        </w:rPr>
        <w:t xml:space="preserve"> May</w:t>
      </w:r>
      <w:r w:rsidR="006C363B">
        <w:rPr>
          <w:rFonts w:ascii="Times New Roman" w:hAnsi="Times New Roman"/>
          <w:sz w:val="18"/>
          <w:szCs w:val="18"/>
        </w:rPr>
        <w:t xml:space="preserve"> </w:t>
      </w:r>
      <w:r w:rsidR="0018281D">
        <w:rPr>
          <w:rFonts w:ascii="Times New Roman" w:hAnsi="Times New Roman"/>
          <w:sz w:val="18"/>
          <w:szCs w:val="18"/>
        </w:rPr>
        <w:t>2022</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2B60A33A"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732491" w:rsidRPr="00BC4A83">
        <w:rPr>
          <w:rFonts w:ascii="Times New Roman" w:hAnsi="Times New Roman"/>
          <w:b/>
        </w:rPr>
        <w:t>7.</w:t>
      </w:r>
      <w:r w:rsidR="0079415C">
        <w:rPr>
          <w:rFonts w:ascii="Times New Roman" w:hAnsi="Times New Roman"/>
          <w:b/>
        </w:rPr>
        <w:t>3</w:t>
      </w:r>
      <w:r w:rsidR="00414B5A" w:rsidRPr="00BC4A83">
        <w:rPr>
          <w:rFonts w:ascii="Times New Roman" w:hAnsi="Times New Roman"/>
          <w:b/>
        </w:rPr>
        <w:t>0</w:t>
      </w:r>
      <w:r w:rsidR="00353AFF" w:rsidRPr="00BC4A83">
        <w:rPr>
          <w:rFonts w:ascii="Times New Roman" w:hAnsi="Times New Roman"/>
          <w:b/>
        </w:rPr>
        <w:t xml:space="preserve">pm on </w:t>
      </w:r>
      <w:r w:rsidR="00F6693C" w:rsidRPr="00BC4A83">
        <w:rPr>
          <w:rFonts w:ascii="Times New Roman" w:hAnsi="Times New Roman"/>
          <w:b/>
        </w:rPr>
        <w:t xml:space="preserve">Thursday </w:t>
      </w:r>
      <w:r w:rsidR="0079415C">
        <w:rPr>
          <w:rFonts w:ascii="Times New Roman" w:hAnsi="Times New Roman"/>
          <w:b/>
        </w:rPr>
        <w:t>12</w:t>
      </w:r>
      <w:r w:rsidR="0079415C" w:rsidRPr="0079415C">
        <w:rPr>
          <w:rFonts w:ascii="Times New Roman" w:hAnsi="Times New Roman"/>
          <w:b/>
          <w:vertAlign w:val="superscript"/>
        </w:rPr>
        <w:t>th</w:t>
      </w:r>
      <w:r w:rsidR="0079415C">
        <w:rPr>
          <w:rFonts w:ascii="Times New Roman" w:hAnsi="Times New Roman"/>
          <w:b/>
        </w:rPr>
        <w:t xml:space="preserve"> May</w:t>
      </w:r>
      <w:r w:rsidR="00F04550">
        <w:rPr>
          <w:rFonts w:ascii="Times New Roman" w:hAnsi="Times New Roman"/>
          <w:b/>
        </w:rPr>
        <w:t xml:space="preserve"> at the Village Hall, Market Weighton Road, North Cliffe, YO43 4UZ.</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77777777"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p>
    <w:p w14:paraId="47A98E04"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4EB9FFA0" w14:textId="43D64C33" w:rsidR="00612216" w:rsidRPr="00BC4A83" w:rsidRDefault="00612216" w:rsidP="00612216">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0008560F" w:rsidRPr="0008560F">
        <w:rPr>
          <w:rFonts w:ascii="Times New Roman" w:hAnsi="Times New Roman"/>
          <w:b/>
          <w:bCs/>
        </w:rPr>
        <w:t>Please note that this is not a period for discussion</w:t>
      </w:r>
      <w:r w:rsidR="007952B4">
        <w:rPr>
          <w:rFonts w:ascii="Times New Roman" w:hAnsi="Times New Roman"/>
          <w:b/>
          <w:bCs/>
        </w:rPr>
        <w:t>, however, member may offer a verbal reply if granted permission from the Chairman to do so.</w:t>
      </w:r>
    </w:p>
    <w:p w14:paraId="5090849A" w14:textId="77777777"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resolve the adoption of the following minutes: </w:t>
      </w:r>
    </w:p>
    <w:p w14:paraId="533BDBDD" w14:textId="77777777" w:rsidR="00612216" w:rsidRPr="00BC4A83" w:rsidRDefault="00612216" w:rsidP="00612216">
      <w:pPr>
        <w:pStyle w:val="ListParagraph"/>
        <w:ind w:left="360"/>
        <w:rPr>
          <w:rFonts w:ascii="Times New Roman" w:hAnsi="Times New Roman"/>
        </w:rPr>
      </w:pPr>
    </w:p>
    <w:p w14:paraId="52172C98" w14:textId="364E3541" w:rsidR="008E668B" w:rsidRDefault="008E668B" w:rsidP="00612216">
      <w:pPr>
        <w:pStyle w:val="ListParagraph"/>
        <w:ind w:left="360"/>
        <w:rPr>
          <w:rFonts w:ascii="Times New Roman" w:hAnsi="Times New Roman"/>
        </w:rPr>
      </w:pPr>
      <w:r>
        <w:rPr>
          <w:rFonts w:ascii="Times New Roman" w:hAnsi="Times New Roman"/>
        </w:rPr>
        <w:t xml:space="preserve">Ordinary Meeting </w:t>
      </w:r>
      <w:r w:rsidR="0079415C">
        <w:rPr>
          <w:rFonts w:ascii="Times New Roman" w:hAnsi="Times New Roman"/>
        </w:rPr>
        <w:t>24</w:t>
      </w:r>
      <w:r w:rsidR="0079415C" w:rsidRPr="0079415C">
        <w:rPr>
          <w:rFonts w:ascii="Times New Roman" w:hAnsi="Times New Roman"/>
          <w:vertAlign w:val="superscript"/>
        </w:rPr>
        <w:t>th</w:t>
      </w:r>
      <w:r w:rsidR="0079415C">
        <w:rPr>
          <w:rFonts w:ascii="Times New Roman" w:hAnsi="Times New Roman"/>
        </w:rPr>
        <w:t xml:space="preserve"> February 2022</w:t>
      </w:r>
    </w:p>
    <w:p w14:paraId="3FC68B54" w14:textId="77777777" w:rsidR="00612216" w:rsidRPr="00BC4A83" w:rsidRDefault="00612216" w:rsidP="00612216">
      <w:pPr>
        <w:pStyle w:val="ListParagraph"/>
        <w:ind w:left="360"/>
        <w:rPr>
          <w:rFonts w:ascii="Times New Roman" w:hAnsi="Times New Roman"/>
        </w:rPr>
      </w:pPr>
    </w:p>
    <w:p w14:paraId="3EDBEC82" w14:textId="08ADD261"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4CD63902" w14:textId="0054D4D2" w:rsidR="004B6EE6" w:rsidRDefault="004B6EE6" w:rsidP="00612216">
      <w:pPr>
        <w:pStyle w:val="ListParagraph"/>
        <w:numPr>
          <w:ilvl w:val="0"/>
          <w:numId w:val="1"/>
        </w:numPr>
        <w:rPr>
          <w:rFonts w:ascii="Times New Roman" w:hAnsi="Times New Roman"/>
        </w:rPr>
      </w:pPr>
      <w:r>
        <w:rPr>
          <w:rFonts w:ascii="Times New Roman" w:hAnsi="Times New Roman"/>
        </w:rPr>
        <w:t>Co-option to fill existing vacancies</w:t>
      </w:r>
    </w:p>
    <w:p w14:paraId="0DAAF27B" w14:textId="2B7606DE"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58378C77" w:rsidR="00A209C3" w:rsidRDefault="00A209C3" w:rsidP="00612216">
      <w:pPr>
        <w:pStyle w:val="paragraph"/>
        <w:numPr>
          <w:ilvl w:val="0"/>
          <w:numId w:val="38"/>
        </w:numPr>
        <w:textAlignment w:val="baseline"/>
        <w:rPr>
          <w:rStyle w:val="normaltextrun1"/>
          <w:sz w:val="22"/>
          <w:szCs w:val="22"/>
        </w:rPr>
      </w:pPr>
      <w:r>
        <w:rPr>
          <w:rStyle w:val="normaltextrun1"/>
          <w:sz w:val="22"/>
          <w:szCs w:val="22"/>
        </w:rPr>
        <w:t>To agree the following payments:</w:t>
      </w:r>
    </w:p>
    <w:p w14:paraId="66149E2D" w14:textId="4005023C" w:rsidR="006C363B" w:rsidRDefault="006C363B" w:rsidP="006C363B">
      <w:pPr>
        <w:pStyle w:val="paragraph"/>
        <w:ind w:left="720"/>
        <w:textAlignment w:val="baseline"/>
        <w:rPr>
          <w:rStyle w:val="normaltextrun1"/>
          <w:sz w:val="22"/>
          <w:szCs w:val="22"/>
        </w:rPr>
      </w:pPr>
    </w:p>
    <w:p w14:paraId="436F8922" w14:textId="77777777" w:rsidR="006C363B" w:rsidRDefault="006C363B" w:rsidP="006C363B">
      <w:pPr>
        <w:pStyle w:val="paragraph"/>
        <w:ind w:left="720"/>
        <w:textAlignment w:val="baseline"/>
        <w:rPr>
          <w:rStyle w:val="normaltextrun1"/>
          <w:sz w:val="22"/>
          <w:szCs w:val="22"/>
        </w:rPr>
      </w:pPr>
    </w:p>
    <w:tbl>
      <w:tblPr>
        <w:tblStyle w:val="TableGrid"/>
        <w:tblW w:w="0" w:type="auto"/>
        <w:tblInd w:w="720" w:type="dxa"/>
        <w:tblLook w:val="04A0" w:firstRow="1" w:lastRow="0" w:firstColumn="1" w:lastColumn="0" w:noHBand="0" w:noVBand="1"/>
      </w:tblPr>
      <w:tblGrid>
        <w:gridCol w:w="3103"/>
        <w:gridCol w:w="992"/>
        <w:gridCol w:w="3544"/>
      </w:tblGrid>
      <w:tr w:rsidR="006C363B" w14:paraId="14B7B20E" w14:textId="77777777" w:rsidTr="00C74519">
        <w:tc>
          <w:tcPr>
            <w:tcW w:w="3103" w:type="dxa"/>
          </w:tcPr>
          <w:p w14:paraId="6C90BF52" w14:textId="6C624DD9" w:rsidR="006C363B" w:rsidRDefault="003C3D0F" w:rsidP="00A209C3">
            <w:pPr>
              <w:pStyle w:val="paragraph"/>
              <w:textAlignment w:val="baseline"/>
              <w:rPr>
                <w:rStyle w:val="normaltextrun1"/>
                <w:sz w:val="22"/>
                <w:szCs w:val="22"/>
              </w:rPr>
            </w:pPr>
            <w:r>
              <w:rPr>
                <w:rStyle w:val="normaltextrun1"/>
                <w:sz w:val="22"/>
                <w:szCs w:val="22"/>
              </w:rPr>
              <w:lastRenderedPageBreak/>
              <w:t>R</w:t>
            </w:r>
            <w:r>
              <w:rPr>
                <w:rStyle w:val="normaltextrun1"/>
              </w:rPr>
              <w:t>ichard Dixon</w:t>
            </w:r>
          </w:p>
        </w:tc>
        <w:tc>
          <w:tcPr>
            <w:tcW w:w="992" w:type="dxa"/>
          </w:tcPr>
          <w:p w14:paraId="08088AE7" w14:textId="446EA4A7" w:rsidR="006C363B" w:rsidRDefault="003C3D0F" w:rsidP="00A209C3">
            <w:pPr>
              <w:pStyle w:val="paragraph"/>
              <w:textAlignment w:val="baseline"/>
              <w:rPr>
                <w:rStyle w:val="normaltextrun1"/>
                <w:sz w:val="22"/>
                <w:szCs w:val="22"/>
              </w:rPr>
            </w:pPr>
            <w:r>
              <w:rPr>
                <w:rStyle w:val="normaltextrun1"/>
                <w:sz w:val="22"/>
                <w:szCs w:val="22"/>
              </w:rPr>
              <w:t>£</w:t>
            </w:r>
            <w:r>
              <w:rPr>
                <w:rStyle w:val="normaltextrun1"/>
              </w:rPr>
              <w:t>395.00</w:t>
            </w:r>
          </w:p>
        </w:tc>
        <w:tc>
          <w:tcPr>
            <w:tcW w:w="3544" w:type="dxa"/>
          </w:tcPr>
          <w:p w14:paraId="4AC578CA" w14:textId="37C8D487" w:rsidR="006C363B" w:rsidRDefault="003C3D0F" w:rsidP="00A209C3">
            <w:pPr>
              <w:pStyle w:val="paragraph"/>
              <w:textAlignment w:val="baseline"/>
              <w:rPr>
                <w:rStyle w:val="normaltextrun1"/>
                <w:sz w:val="22"/>
                <w:szCs w:val="22"/>
              </w:rPr>
            </w:pPr>
            <w:r>
              <w:rPr>
                <w:rStyle w:val="normaltextrun1"/>
                <w:sz w:val="22"/>
                <w:szCs w:val="22"/>
              </w:rPr>
              <w:t>I</w:t>
            </w:r>
            <w:r>
              <w:rPr>
                <w:rStyle w:val="normaltextrun1"/>
              </w:rPr>
              <w:t>nternal audit</w:t>
            </w:r>
          </w:p>
        </w:tc>
      </w:tr>
      <w:tr w:rsidR="006C363B" w14:paraId="074EC6C7" w14:textId="77777777" w:rsidTr="00C74519">
        <w:tc>
          <w:tcPr>
            <w:tcW w:w="3103" w:type="dxa"/>
          </w:tcPr>
          <w:p w14:paraId="6636804D" w14:textId="18028F4C" w:rsidR="006C363B" w:rsidRDefault="008212AC" w:rsidP="00A209C3">
            <w:pPr>
              <w:pStyle w:val="paragraph"/>
              <w:textAlignment w:val="baseline"/>
              <w:rPr>
                <w:rStyle w:val="normaltextrun1"/>
                <w:sz w:val="22"/>
                <w:szCs w:val="22"/>
              </w:rPr>
            </w:pPr>
            <w:r>
              <w:rPr>
                <w:rStyle w:val="normaltextrun1"/>
                <w:sz w:val="22"/>
                <w:szCs w:val="22"/>
              </w:rPr>
              <w:t>Bellisimo Crafts</w:t>
            </w:r>
          </w:p>
        </w:tc>
        <w:tc>
          <w:tcPr>
            <w:tcW w:w="992" w:type="dxa"/>
          </w:tcPr>
          <w:p w14:paraId="53E4F32C" w14:textId="03E7EF16" w:rsidR="006C363B" w:rsidRDefault="008212AC" w:rsidP="00A209C3">
            <w:pPr>
              <w:pStyle w:val="paragraph"/>
              <w:textAlignment w:val="baseline"/>
              <w:rPr>
                <w:rStyle w:val="normaltextrun1"/>
                <w:sz w:val="22"/>
                <w:szCs w:val="22"/>
              </w:rPr>
            </w:pPr>
            <w:r>
              <w:rPr>
                <w:rStyle w:val="normaltextrun1"/>
                <w:sz w:val="22"/>
                <w:szCs w:val="22"/>
              </w:rPr>
              <w:t>£</w:t>
            </w:r>
            <w:r w:rsidR="00C74519">
              <w:rPr>
                <w:rStyle w:val="normaltextrun1"/>
                <w:sz w:val="22"/>
                <w:szCs w:val="22"/>
              </w:rPr>
              <w:t>212.50</w:t>
            </w:r>
          </w:p>
        </w:tc>
        <w:tc>
          <w:tcPr>
            <w:tcW w:w="3544" w:type="dxa"/>
          </w:tcPr>
          <w:p w14:paraId="1151B9BA" w14:textId="6450D274" w:rsidR="006C363B" w:rsidRDefault="00C74519" w:rsidP="00A209C3">
            <w:pPr>
              <w:pStyle w:val="paragraph"/>
              <w:textAlignment w:val="baseline"/>
              <w:rPr>
                <w:rStyle w:val="normaltextrun1"/>
                <w:sz w:val="22"/>
                <w:szCs w:val="22"/>
              </w:rPr>
            </w:pPr>
            <w:r>
              <w:rPr>
                <w:rStyle w:val="normaltextrun1"/>
                <w:sz w:val="22"/>
                <w:szCs w:val="22"/>
              </w:rPr>
              <w:t>Jubilee mugs</w:t>
            </w:r>
          </w:p>
        </w:tc>
      </w:tr>
      <w:tr w:rsidR="006C363B" w14:paraId="00F4273A" w14:textId="77777777" w:rsidTr="00C74519">
        <w:tc>
          <w:tcPr>
            <w:tcW w:w="3103" w:type="dxa"/>
          </w:tcPr>
          <w:p w14:paraId="742C683A" w14:textId="740AEFE6" w:rsidR="006C363B" w:rsidRDefault="00C74519" w:rsidP="00A209C3">
            <w:pPr>
              <w:pStyle w:val="paragraph"/>
              <w:textAlignment w:val="baseline"/>
              <w:rPr>
                <w:rStyle w:val="normaltextrun1"/>
                <w:sz w:val="22"/>
                <w:szCs w:val="22"/>
              </w:rPr>
            </w:pPr>
            <w:r>
              <w:rPr>
                <w:rStyle w:val="normaltextrun1"/>
                <w:sz w:val="22"/>
                <w:szCs w:val="22"/>
              </w:rPr>
              <w:t xml:space="preserve">ERNLLCA </w:t>
            </w:r>
          </w:p>
        </w:tc>
        <w:tc>
          <w:tcPr>
            <w:tcW w:w="992" w:type="dxa"/>
          </w:tcPr>
          <w:p w14:paraId="66A77227" w14:textId="682B0382" w:rsidR="006C363B" w:rsidRDefault="00C74519" w:rsidP="00A209C3">
            <w:pPr>
              <w:pStyle w:val="paragraph"/>
              <w:textAlignment w:val="baseline"/>
              <w:rPr>
                <w:rStyle w:val="normaltextrun1"/>
                <w:sz w:val="22"/>
                <w:szCs w:val="22"/>
              </w:rPr>
            </w:pPr>
            <w:r>
              <w:rPr>
                <w:rStyle w:val="normaltextrun1"/>
                <w:sz w:val="22"/>
                <w:szCs w:val="22"/>
              </w:rPr>
              <w:t>£48.00</w:t>
            </w:r>
          </w:p>
        </w:tc>
        <w:tc>
          <w:tcPr>
            <w:tcW w:w="3544" w:type="dxa"/>
          </w:tcPr>
          <w:p w14:paraId="40D33063" w14:textId="428A076D" w:rsidR="006C363B" w:rsidRDefault="00C74519" w:rsidP="00A209C3">
            <w:pPr>
              <w:pStyle w:val="paragraph"/>
              <w:textAlignment w:val="baseline"/>
              <w:rPr>
                <w:rStyle w:val="normaltextrun1"/>
                <w:sz w:val="22"/>
                <w:szCs w:val="22"/>
              </w:rPr>
            </w:pPr>
            <w:r>
              <w:rPr>
                <w:rStyle w:val="normaltextrun1"/>
                <w:sz w:val="22"/>
                <w:szCs w:val="22"/>
              </w:rPr>
              <w:t>Training</w:t>
            </w:r>
          </w:p>
        </w:tc>
      </w:tr>
      <w:tr w:rsidR="006C363B" w14:paraId="631AAD98" w14:textId="77777777" w:rsidTr="00C74519">
        <w:tc>
          <w:tcPr>
            <w:tcW w:w="3103" w:type="dxa"/>
          </w:tcPr>
          <w:p w14:paraId="319186B5" w14:textId="60FCD86E" w:rsidR="006C363B" w:rsidRDefault="00C74519" w:rsidP="00A209C3">
            <w:pPr>
              <w:pStyle w:val="paragraph"/>
              <w:textAlignment w:val="baseline"/>
              <w:rPr>
                <w:rStyle w:val="normaltextrun1"/>
                <w:sz w:val="22"/>
                <w:szCs w:val="22"/>
              </w:rPr>
            </w:pPr>
            <w:r>
              <w:rPr>
                <w:rStyle w:val="normaltextrun1"/>
                <w:sz w:val="22"/>
                <w:szCs w:val="22"/>
              </w:rPr>
              <w:t>Shiptonthorpe Parish Council</w:t>
            </w:r>
          </w:p>
        </w:tc>
        <w:tc>
          <w:tcPr>
            <w:tcW w:w="992" w:type="dxa"/>
          </w:tcPr>
          <w:p w14:paraId="36E98ECB" w14:textId="7A095B15" w:rsidR="006C363B" w:rsidRDefault="00C74519" w:rsidP="00A209C3">
            <w:pPr>
              <w:pStyle w:val="paragraph"/>
              <w:textAlignment w:val="baseline"/>
              <w:rPr>
                <w:rStyle w:val="normaltextrun1"/>
                <w:sz w:val="22"/>
                <w:szCs w:val="22"/>
              </w:rPr>
            </w:pPr>
            <w:r>
              <w:rPr>
                <w:rStyle w:val="normaltextrun1"/>
                <w:sz w:val="22"/>
                <w:szCs w:val="22"/>
              </w:rPr>
              <w:t>£33.50</w:t>
            </w:r>
          </w:p>
        </w:tc>
        <w:tc>
          <w:tcPr>
            <w:tcW w:w="3544" w:type="dxa"/>
          </w:tcPr>
          <w:p w14:paraId="3917DA33" w14:textId="28A8C647" w:rsidR="006C363B" w:rsidRDefault="00C74519" w:rsidP="00A209C3">
            <w:pPr>
              <w:pStyle w:val="paragraph"/>
              <w:textAlignment w:val="baseline"/>
              <w:rPr>
                <w:rStyle w:val="normaltextrun1"/>
                <w:sz w:val="22"/>
                <w:szCs w:val="22"/>
              </w:rPr>
            </w:pPr>
            <w:r>
              <w:rPr>
                <w:rStyle w:val="normaltextrun1"/>
                <w:sz w:val="22"/>
                <w:szCs w:val="22"/>
              </w:rPr>
              <w:t>¼ of SLCC subs</w:t>
            </w:r>
          </w:p>
        </w:tc>
      </w:tr>
      <w:tr w:rsidR="006C363B" w14:paraId="5B94FCC9" w14:textId="77777777" w:rsidTr="00C74519">
        <w:tc>
          <w:tcPr>
            <w:tcW w:w="3103" w:type="dxa"/>
          </w:tcPr>
          <w:p w14:paraId="11827C9C" w14:textId="64800D25" w:rsidR="006C363B" w:rsidRDefault="006C363B" w:rsidP="00A209C3">
            <w:pPr>
              <w:pStyle w:val="paragraph"/>
              <w:textAlignment w:val="baseline"/>
              <w:rPr>
                <w:rStyle w:val="normaltextrun1"/>
                <w:sz w:val="22"/>
                <w:szCs w:val="22"/>
              </w:rPr>
            </w:pPr>
          </w:p>
        </w:tc>
        <w:tc>
          <w:tcPr>
            <w:tcW w:w="992" w:type="dxa"/>
          </w:tcPr>
          <w:p w14:paraId="55F31EB9" w14:textId="45F85FCD" w:rsidR="006C363B" w:rsidRDefault="006C363B" w:rsidP="00A209C3">
            <w:pPr>
              <w:pStyle w:val="paragraph"/>
              <w:textAlignment w:val="baseline"/>
              <w:rPr>
                <w:rStyle w:val="normaltextrun1"/>
                <w:sz w:val="22"/>
                <w:szCs w:val="22"/>
              </w:rPr>
            </w:pPr>
          </w:p>
        </w:tc>
        <w:tc>
          <w:tcPr>
            <w:tcW w:w="3544" w:type="dxa"/>
          </w:tcPr>
          <w:p w14:paraId="6AEE85EE" w14:textId="6542926E" w:rsidR="006C363B" w:rsidRDefault="006C363B" w:rsidP="00A209C3">
            <w:pPr>
              <w:pStyle w:val="paragraph"/>
              <w:textAlignment w:val="baseline"/>
              <w:rPr>
                <w:rStyle w:val="normaltextrun1"/>
                <w:sz w:val="22"/>
                <w:szCs w:val="22"/>
              </w:rPr>
            </w:pPr>
          </w:p>
        </w:tc>
      </w:tr>
      <w:tr w:rsidR="006C363B" w14:paraId="7A82292A" w14:textId="77777777" w:rsidTr="00C74519">
        <w:tc>
          <w:tcPr>
            <w:tcW w:w="3103" w:type="dxa"/>
          </w:tcPr>
          <w:p w14:paraId="7DB298A3" w14:textId="480F34ED" w:rsidR="006C363B" w:rsidRPr="00815AE9" w:rsidRDefault="00815AE9" w:rsidP="00A209C3">
            <w:pPr>
              <w:pStyle w:val="paragraph"/>
              <w:textAlignment w:val="baseline"/>
              <w:rPr>
                <w:rStyle w:val="normaltextrun1"/>
                <w:b/>
                <w:bCs/>
                <w:sz w:val="22"/>
                <w:szCs w:val="22"/>
              </w:rPr>
            </w:pPr>
            <w:r w:rsidRPr="00815AE9">
              <w:rPr>
                <w:rStyle w:val="normaltextrun1"/>
                <w:b/>
                <w:bCs/>
                <w:sz w:val="22"/>
                <w:szCs w:val="22"/>
              </w:rPr>
              <w:t>Total</w:t>
            </w:r>
          </w:p>
        </w:tc>
        <w:tc>
          <w:tcPr>
            <w:tcW w:w="992" w:type="dxa"/>
          </w:tcPr>
          <w:p w14:paraId="47969B74" w14:textId="382C5616" w:rsidR="006C363B" w:rsidRPr="00815AE9" w:rsidRDefault="00815AE9" w:rsidP="00A209C3">
            <w:pPr>
              <w:pStyle w:val="paragraph"/>
              <w:textAlignment w:val="baseline"/>
              <w:rPr>
                <w:rStyle w:val="normaltextrun1"/>
                <w:b/>
                <w:bCs/>
                <w:sz w:val="22"/>
                <w:szCs w:val="22"/>
              </w:rPr>
            </w:pPr>
            <w:r w:rsidRPr="00815AE9">
              <w:rPr>
                <w:rStyle w:val="normaltextrun1"/>
                <w:b/>
                <w:bCs/>
                <w:sz w:val="22"/>
                <w:szCs w:val="22"/>
              </w:rPr>
              <w:t>£</w:t>
            </w:r>
            <w:r w:rsidR="00C74519">
              <w:rPr>
                <w:rStyle w:val="normaltextrun1"/>
                <w:b/>
                <w:bCs/>
                <w:sz w:val="22"/>
                <w:szCs w:val="22"/>
              </w:rPr>
              <w:t>689.00</w:t>
            </w:r>
          </w:p>
        </w:tc>
        <w:tc>
          <w:tcPr>
            <w:tcW w:w="3544" w:type="dxa"/>
          </w:tcPr>
          <w:p w14:paraId="77D67CE4" w14:textId="77777777" w:rsidR="006C363B" w:rsidRDefault="006C363B" w:rsidP="00A209C3">
            <w:pPr>
              <w:pStyle w:val="paragraph"/>
              <w:textAlignment w:val="baseline"/>
              <w:rPr>
                <w:rStyle w:val="normaltextrun1"/>
                <w:sz w:val="22"/>
                <w:szCs w:val="22"/>
              </w:rPr>
            </w:pPr>
          </w:p>
        </w:tc>
      </w:tr>
    </w:tbl>
    <w:p w14:paraId="4B56EE86" w14:textId="77777777" w:rsidR="00A209C3" w:rsidRPr="00A209C3" w:rsidRDefault="00A209C3" w:rsidP="00A209C3">
      <w:pPr>
        <w:pStyle w:val="paragraph"/>
        <w:ind w:left="720"/>
        <w:textAlignment w:val="baseline"/>
        <w:rPr>
          <w:rStyle w:val="normaltextrun1"/>
          <w:sz w:val="22"/>
          <w:szCs w:val="22"/>
        </w:rPr>
      </w:pPr>
    </w:p>
    <w:p w14:paraId="64FB4D6A" w14:textId="15A50A70" w:rsidR="00612216" w:rsidRPr="00AC31F8" w:rsidRDefault="00612216" w:rsidP="00612216">
      <w:pPr>
        <w:pStyle w:val="paragraph"/>
        <w:numPr>
          <w:ilvl w:val="0"/>
          <w:numId w:val="38"/>
        </w:numPr>
        <w:textAlignment w:val="baseline"/>
        <w:rPr>
          <w:rStyle w:val="normaltextrun1"/>
          <w:sz w:val="22"/>
          <w:szCs w:val="22"/>
        </w:rPr>
      </w:pPr>
      <w:r w:rsidRPr="00BC4A83">
        <w:rPr>
          <w:rStyle w:val="normaltextrun1"/>
          <w:sz w:val="22"/>
          <w:szCs w:val="22"/>
          <w:lang w:val="en-GB"/>
        </w:rPr>
        <w:t xml:space="preserve">To review </w:t>
      </w:r>
      <w:r w:rsidR="00A92A06">
        <w:rPr>
          <w:rStyle w:val="normaltextrun1"/>
          <w:sz w:val="22"/>
          <w:szCs w:val="22"/>
          <w:lang w:val="en-GB"/>
        </w:rPr>
        <w:t xml:space="preserve">the </w:t>
      </w:r>
      <w:r w:rsidR="00AC31F8">
        <w:rPr>
          <w:rStyle w:val="normaltextrun1"/>
          <w:sz w:val="22"/>
          <w:szCs w:val="22"/>
          <w:lang w:val="en-GB"/>
        </w:rPr>
        <w:t xml:space="preserve">end of year </w:t>
      </w:r>
      <w:r w:rsidR="00A92A06">
        <w:rPr>
          <w:rStyle w:val="normaltextrun1"/>
          <w:sz w:val="22"/>
          <w:szCs w:val="22"/>
          <w:lang w:val="en-GB"/>
        </w:rPr>
        <w:t xml:space="preserve">accounts for </w:t>
      </w:r>
      <w:r w:rsidR="0079415C">
        <w:rPr>
          <w:rStyle w:val="normaltextrun1"/>
          <w:sz w:val="22"/>
          <w:szCs w:val="22"/>
          <w:lang w:val="en-GB"/>
        </w:rPr>
        <w:t>March</w:t>
      </w:r>
      <w:r w:rsidR="0018281D">
        <w:rPr>
          <w:rStyle w:val="normaltextrun1"/>
          <w:sz w:val="22"/>
          <w:szCs w:val="22"/>
          <w:lang w:val="en-GB"/>
        </w:rPr>
        <w:t xml:space="preserve"> and </w:t>
      </w:r>
      <w:r w:rsidR="00A209C3">
        <w:rPr>
          <w:rStyle w:val="normaltextrun1"/>
          <w:sz w:val="22"/>
          <w:szCs w:val="22"/>
          <w:lang w:val="en-GB"/>
        </w:rPr>
        <w:t>ap</w:t>
      </w:r>
      <w:r w:rsidR="00A92A06">
        <w:rPr>
          <w:rStyle w:val="normaltextrun1"/>
          <w:sz w:val="22"/>
          <w:szCs w:val="22"/>
          <w:lang w:val="en-GB"/>
        </w:rPr>
        <w:t>prove the b</w:t>
      </w:r>
      <w:r w:rsidR="00E426E7" w:rsidRPr="00BC4A83">
        <w:rPr>
          <w:rStyle w:val="normaltextrun1"/>
          <w:sz w:val="22"/>
          <w:szCs w:val="22"/>
          <w:lang w:val="en-GB"/>
        </w:rPr>
        <w:t xml:space="preserve">ank reconciliation </w:t>
      </w:r>
    </w:p>
    <w:p w14:paraId="2A073382" w14:textId="51CD373A" w:rsidR="00AC31F8" w:rsidRPr="00AC31F8" w:rsidRDefault="00AC31F8" w:rsidP="00612216">
      <w:pPr>
        <w:pStyle w:val="paragraph"/>
        <w:numPr>
          <w:ilvl w:val="0"/>
          <w:numId w:val="38"/>
        </w:numPr>
        <w:textAlignment w:val="baseline"/>
        <w:rPr>
          <w:rStyle w:val="normaltextrun1"/>
          <w:sz w:val="22"/>
          <w:szCs w:val="22"/>
        </w:rPr>
      </w:pPr>
      <w:r>
        <w:rPr>
          <w:rStyle w:val="normaltextrun1"/>
          <w:sz w:val="22"/>
          <w:szCs w:val="22"/>
          <w:lang w:val="en-GB"/>
        </w:rPr>
        <w:t>To receive the internal audit report.</w:t>
      </w:r>
    </w:p>
    <w:p w14:paraId="48CC9DE3" w14:textId="3C0988CD" w:rsidR="00AC31F8" w:rsidRPr="00DE2125" w:rsidRDefault="00AC31F8" w:rsidP="00612216">
      <w:pPr>
        <w:pStyle w:val="paragraph"/>
        <w:numPr>
          <w:ilvl w:val="0"/>
          <w:numId w:val="38"/>
        </w:numPr>
        <w:textAlignment w:val="baseline"/>
        <w:rPr>
          <w:rStyle w:val="normaltextrun1"/>
          <w:sz w:val="22"/>
          <w:szCs w:val="22"/>
        </w:rPr>
      </w:pPr>
      <w:r>
        <w:rPr>
          <w:rStyle w:val="normaltextrun1"/>
          <w:sz w:val="22"/>
          <w:szCs w:val="22"/>
          <w:lang w:val="en-GB"/>
        </w:rPr>
        <w:t>To complete the Annual Governance and Accounting Statements.</w:t>
      </w:r>
    </w:p>
    <w:p w14:paraId="226DB777" w14:textId="221B75A3" w:rsidR="00C8126D" w:rsidRDefault="00C8126D" w:rsidP="00612216">
      <w:pPr>
        <w:pStyle w:val="ListParagraph"/>
        <w:numPr>
          <w:ilvl w:val="0"/>
          <w:numId w:val="1"/>
        </w:numPr>
        <w:spacing w:before="240" w:after="0"/>
        <w:rPr>
          <w:rFonts w:ascii="Times New Roman" w:hAnsi="Times New Roman"/>
        </w:rPr>
      </w:pPr>
      <w:r>
        <w:rPr>
          <w:rFonts w:ascii="Times New Roman" w:hAnsi="Times New Roman"/>
        </w:rPr>
        <w:t>Planning: to approve or otherwise the planning applications listed below:</w:t>
      </w:r>
    </w:p>
    <w:p w14:paraId="127CB4E0" w14:textId="5533B3DD" w:rsidR="00C8126D" w:rsidRDefault="00C8126D" w:rsidP="00C8126D">
      <w:pPr>
        <w:pStyle w:val="ListParagraph"/>
        <w:spacing w:before="240" w:after="0"/>
        <w:ind w:left="360"/>
        <w:rPr>
          <w:rFonts w:ascii="Times New Roman" w:hAnsi="Times New Roman"/>
        </w:rPr>
      </w:pPr>
    </w:p>
    <w:p w14:paraId="3B8811DB" w14:textId="40897393" w:rsidR="00C8126D" w:rsidRPr="00B40FF9" w:rsidRDefault="00C8126D" w:rsidP="00C8126D">
      <w:pPr>
        <w:pStyle w:val="ListParagraph"/>
        <w:spacing w:before="240" w:after="0"/>
        <w:ind w:left="360"/>
        <w:rPr>
          <w:rFonts w:ascii="Times New Roman" w:hAnsi="Times New Roman"/>
          <w:b/>
          <w:bCs/>
        </w:rPr>
      </w:pPr>
      <w:r w:rsidRPr="00B40FF9">
        <w:rPr>
          <w:rFonts w:ascii="Times New Roman" w:hAnsi="Times New Roman"/>
          <w:b/>
          <w:bCs/>
        </w:rPr>
        <w:t>22/00802/PLF – Oakwood Clump</w:t>
      </w:r>
    </w:p>
    <w:p w14:paraId="74239834" w14:textId="77777777" w:rsidR="00C8126D" w:rsidRPr="00B40FF9" w:rsidRDefault="00C8126D" w:rsidP="00C8126D">
      <w:pPr>
        <w:pStyle w:val="ListParagraph"/>
        <w:spacing w:before="240" w:after="0"/>
        <w:ind w:left="360"/>
        <w:rPr>
          <w:rFonts w:ascii="Times New Roman" w:hAnsi="Times New Roman"/>
          <w:b/>
          <w:bCs/>
        </w:rPr>
      </w:pPr>
    </w:p>
    <w:p w14:paraId="666EE6F3" w14:textId="366D925A" w:rsidR="00C8126D" w:rsidRPr="00B40FF9" w:rsidRDefault="00C8126D" w:rsidP="00C8126D">
      <w:pPr>
        <w:pStyle w:val="ListParagraph"/>
        <w:spacing w:before="240" w:after="0"/>
        <w:ind w:left="360"/>
        <w:rPr>
          <w:rFonts w:ascii="Times New Roman" w:hAnsi="Times New Roman"/>
        </w:rPr>
      </w:pPr>
      <w:r w:rsidRPr="00B40FF9">
        <w:rPr>
          <w:rFonts w:ascii="Times New Roman" w:hAnsi="Times New Roman"/>
          <w:b/>
          <w:bCs/>
        </w:rPr>
        <w:t>Proposal:</w:t>
      </w:r>
      <w:r w:rsidRPr="00B40FF9">
        <w:rPr>
          <w:rFonts w:ascii="Times New Roman" w:hAnsi="Times New Roman"/>
        </w:rPr>
        <w:t xml:space="preserve"> Change of use of land for the siting of 6 timber glamping pods with construction of hardstanding for parking/turning areas, and erection of a building for use as office, amenity building, bike storage and refuse area, following removal of existing agricultural buildings </w:t>
      </w:r>
      <w:r w:rsidRPr="00B40FF9">
        <w:rPr>
          <w:rFonts w:ascii="Times New Roman" w:hAnsi="Times New Roman"/>
          <w:b/>
          <w:bCs/>
        </w:rPr>
        <w:t>Location</w:t>
      </w:r>
      <w:r w:rsidRPr="00B40FF9">
        <w:rPr>
          <w:rFonts w:ascii="Times New Roman" w:hAnsi="Times New Roman"/>
        </w:rPr>
        <w:t xml:space="preserve">: Land West of Oakwood Sand Lane North Cliffe East Riding Of Yorkshire YO43 4XE </w:t>
      </w:r>
      <w:r w:rsidRPr="00B40FF9">
        <w:rPr>
          <w:rFonts w:ascii="Times New Roman" w:hAnsi="Times New Roman"/>
          <w:b/>
          <w:bCs/>
        </w:rPr>
        <w:t>Applicant:</w:t>
      </w:r>
      <w:r w:rsidRPr="00B40FF9">
        <w:rPr>
          <w:rFonts w:ascii="Times New Roman" w:hAnsi="Times New Roman"/>
        </w:rPr>
        <w:t xml:space="preserve"> Oakwood Clump </w:t>
      </w:r>
    </w:p>
    <w:p w14:paraId="48257884" w14:textId="1492FFE0" w:rsidR="00C8126D" w:rsidRPr="00B40FF9" w:rsidRDefault="00C8126D" w:rsidP="00C8126D">
      <w:pPr>
        <w:pStyle w:val="ListParagraph"/>
        <w:spacing w:before="240" w:after="0"/>
        <w:ind w:left="360"/>
        <w:rPr>
          <w:rFonts w:ascii="Times New Roman" w:hAnsi="Times New Roman"/>
        </w:rPr>
      </w:pPr>
      <w:r w:rsidRPr="00B40FF9">
        <w:rPr>
          <w:rFonts w:ascii="Times New Roman" w:hAnsi="Times New Roman"/>
          <w:b/>
          <w:bCs/>
        </w:rPr>
        <w:t>Application type:</w:t>
      </w:r>
      <w:r w:rsidRPr="00B40FF9">
        <w:rPr>
          <w:rFonts w:ascii="Times New Roman" w:hAnsi="Times New Roman"/>
        </w:rPr>
        <w:t xml:space="preserve"> Full Planning Permission</w:t>
      </w:r>
    </w:p>
    <w:p w14:paraId="2533EF51" w14:textId="77777777" w:rsidR="00C8126D" w:rsidRDefault="00C8126D" w:rsidP="00C8126D">
      <w:pPr>
        <w:pStyle w:val="ListParagraph"/>
        <w:spacing w:before="240" w:after="0"/>
        <w:ind w:left="360"/>
        <w:rPr>
          <w:rFonts w:ascii="Times New Roman" w:hAnsi="Times New Roman"/>
        </w:rPr>
      </w:pPr>
    </w:p>
    <w:p w14:paraId="1C91F34E" w14:textId="4C45878B" w:rsidR="0067311B" w:rsidRDefault="0067311B" w:rsidP="00612216">
      <w:pPr>
        <w:pStyle w:val="ListParagraph"/>
        <w:numPr>
          <w:ilvl w:val="0"/>
          <w:numId w:val="1"/>
        </w:numPr>
        <w:spacing w:before="240" w:after="0"/>
        <w:rPr>
          <w:rFonts w:ascii="Times New Roman" w:hAnsi="Times New Roman"/>
        </w:rPr>
      </w:pPr>
      <w:r>
        <w:rPr>
          <w:rFonts w:ascii="Times New Roman" w:hAnsi="Times New Roman"/>
        </w:rPr>
        <w:t>Ward Councillor update</w:t>
      </w:r>
      <w:r w:rsidR="00573F33">
        <w:rPr>
          <w:rFonts w:ascii="Times New Roman" w:hAnsi="Times New Roman"/>
        </w:rPr>
        <w:t xml:space="preserve"> – receive a report on current ERYC issues</w:t>
      </w:r>
      <w:r w:rsidR="0079415C">
        <w:rPr>
          <w:rFonts w:ascii="Times New Roman" w:hAnsi="Times New Roman"/>
        </w:rPr>
        <w:t>.</w:t>
      </w:r>
    </w:p>
    <w:p w14:paraId="184A3854" w14:textId="6196436F" w:rsidR="005D153C" w:rsidRDefault="005D153C" w:rsidP="00612216">
      <w:pPr>
        <w:pStyle w:val="ListParagraph"/>
        <w:numPr>
          <w:ilvl w:val="0"/>
          <w:numId w:val="1"/>
        </w:numPr>
        <w:spacing w:before="240" w:after="0"/>
        <w:rPr>
          <w:rFonts w:ascii="Times New Roman" w:hAnsi="Times New Roman"/>
        </w:rPr>
      </w:pPr>
      <w:r>
        <w:rPr>
          <w:rFonts w:ascii="Times New Roman" w:hAnsi="Times New Roman"/>
        </w:rPr>
        <w:t xml:space="preserve">HM The Queen’s Platinum Jubilee – to discuss </w:t>
      </w:r>
      <w:r w:rsidR="0079415C">
        <w:rPr>
          <w:rFonts w:ascii="Times New Roman" w:hAnsi="Times New Roman"/>
        </w:rPr>
        <w:t>distribution of the Jubilee mugs</w:t>
      </w:r>
      <w:r w:rsidR="0010638C">
        <w:rPr>
          <w:rFonts w:ascii="Times New Roman" w:hAnsi="Times New Roman"/>
        </w:rPr>
        <w:t>.</w:t>
      </w:r>
    </w:p>
    <w:p w14:paraId="002638CA" w14:textId="639FC743" w:rsidR="003277E9" w:rsidRDefault="00D34FB8" w:rsidP="00612216">
      <w:pPr>
        <w:pStyle w:val="ListParagraph"/>
        <w:numPr>
          <w:ilvl w:val="0"/>
          <w:numId w:val="1"/>
        </w:numPr>
        <w:spacing w:before="240" w:after="0"/>
        <w:rPr>
          <w:rFonts w:ascii="Times New Roman" w:hAnsi="Times New Roman"/>
        </w:rPr>
      </w:pPr>
      <w:r>
        <w:rPr>
          <w:rFonts w:ascii="Times New Roman" w:hAnsi="Times New Roman"/>
        </w:rPr>
        <w:t xml:space="preserve">Administration: </w:t>
      </w:r>
    </w:p>
    <w:p w14:paraId="03AC4B35" w14:textId="77777777" w:rsidR="003277E9" w:rsidRDefault="003277E9" w:rsidP="003277E9">
      <w:pPr>
        <w:pStyle w:val="ListParagraph"/>
        <w:spacing w:before="240" w:after="0"/>
        <w:ind w:left="360"/>
        <w:rPr>
          <w:rFonts w:ascii="Times New Roman" w:hAnsi="Times New Roman"/>
        </w:rPr>
      </w:pPr>
    </w:p>
    <w:p w14:paraId="2F677F32" w14:textId="2AE293E6" w:rsidR="0050743E" w:rsidRDefault="00D0781E" w:rsidP="003277E9">
      <w:pPr>
        <w:pStyle w:val="ListParagraph"/>
        <w:numPr>
          <w:ilvl w:val="0"/>
          <w:numId w:val="47"/>
        </w:numPr>
        <w:spacing w:before="240" w:after="0"/>
        <w:rPr>
          <w:rFonts w:ascii="Times New Roman" w:hAnsi="Times New Roman"/>
        </w:rPr>
      </w:pPr>
      <w:r>
        <w:rPr>
          <w:rFonts w:ascii="Times New Roman" w:hAnsi="Times New Roman"/>
        </w:rPr>
        <w:t>to review the following:</w:t>
      </w:r>
    </w:p>
    <w:p w14:paraId="14D9C675" w14:textId="019F2ABC" w:rsidR="00D0781E" w:rsidRDefault="00D0781E" w:rsidP="00D0781E">
      <w:pPr>
        <w:pStyle w:val="ListParagraph"/>
        <w:spacing w:before="240" w:after="0"/>
        <w:ind w:left="360"/>
        <w:rPr>
          <w:rFonts w:ascii="Times New Roman" w:hAnsi="Times New Roman"/>
        </w:rPr>
      </w:pPr>
    </w:p>
    <w:p w14:paraId="52371290" w14:textId="0243161F" w:rsidR="00D0781E" w:rsidRDefault="00D0781E" w:rsidP="0003445F">
      <w:pPr>
        <w:pStyle w:val="ListParagraph"/>
        <w:numPr>
          <w:ilvl w:val="0"/>
          <w:numId w:val="46"/>
        </w:numPr>
        <w:spacing w:before="240" w:after="0"/>
        <w:rPr>
          <w:rFonts w:ascii="Times New Roman" w:hAnsi="Times New Roman"/>
        </w:rPr>
      </w:pPr>
      <w:r>
        <w:rPr>
          <w:rFonts w:ascii="Times New Roman" w:hAnsi="Times New Roman"/>
        </w:rPr>
        <w:t>Health &amp; Safety policy</w:t>
      </w:r>
    </w:p>
    <w:p w14:paraId="62B44F8B" w14:textId="08D5193A" w:rsidR="00D0781E" w:rsidRDefault="00D0781E" w:rsidP="0003445F">
      <w:pPr>
        <w:pStyle w:val="ListParagraph"/>
        <w:numPr>
          <w:ilvl w:val="0"/>
          <w:numId w:val="46"/>
        </w:numPr>
        <w:spacing w:before="240" w:after="0"/>
        <w:rPr>
          <w:rFonts w:ascii="Times New Roman" w:hAnsi="Times New Roman"/>
        </w:rPr>
      </w:pPr>
      <w:r>
        <w:rPr>
          <w:rFonts w:ascii="Times New Roman" w:hAnsi="Times New Roman"/>
        </w:rPr>
        <w:t>Recording policy</w:t>
      </w:r>
    </w:p>
    <w:p w14:paraId="72357D5D" w14:textId="2D1DFF67" w:rsidR="00D0781E" w:rsidRDefault="00D0781E" w:rsidP="0003445F">
      <w:pPr>
        <w:pStyle w:val="ListParagraph"/>
        <w:numPr>
          <w:ilvl w:val="0"/>
          <w:numId w:val="46"/>
        </w:numPr>
        <w:spacing w:before="240" w:after="0"/>
        <w:rPr>
          <w:rFonts w:ascii="Times New Roman" w:hAnsi="Times New Roman"/>
        </w:rPr>
      </w:pPr>
      <w:r>
        <w:rPr>
          <w:rFonts w:ascii="Times New Roman" w:hAnsi="Times New Roman"/>
        </w:rPr>
        <w:t>Media policy</w:t>
      </w:r>
    </w:p>
    <w:p w14:paraId="72DBEE0D" w14:textId="1C24F439" w:rsidR="00D0781E" w:rsidRDefault="00D0781E" w:rsidP="0003445F">
      <w:pPr>
        <w:pStyle w:val="ListParagraph"/>
        <w:numPr>
          <w:ilvl w:val="0"/>
          <w:numId w:val="46"/>
        </w:numPr>
        <w:spacing w:before="240" w:after="0"/>
        <w:rPr>
          <w:rFonts w:ascii="Times New Roman" w:hAnsi="Times New Roman"/>
        </w:rPr>
      </w:pPr>
      <w:r>
        <w:rPr>
          <w:rFonts w:ascii="Times New Roman" w:hAnsi="Times New Roman"/>
        </w:rPr>
        <w:t>Equality policy</w:t>
      </w:r>
    </w:p>
    <w:p w14:paraId="50B9E22F" w14:textId="5EF2432A" w:rsidR="00D0781E" w:rsidRDefault="00D0781E" w:rsidP="0003445F">
      <w:pPr>
        <w:pStyle w:val="ListParagraph"/>
        <w:numPr>
          <w:ilvl w:val="0"/>
          <w:numId w:val="46"/>
        </w:numPr>
        <w:spacing w:before="240" w:after="0"/>
        <w:rPr>
          <w:rFonts w:ascii="Times New Roman" w:hAnsi="Times New Roman"/>
        </w:rPr>
      </w:pPr>
      <w:r>
        <w:rPr>
          <w:rFonts w:ascii="Times New Roman" w:hAnsi="Times New Roman"/>
        </w:rPr>
        <w:t>Scheme of Publication</w:t>
      </w:r>
    </w:p>
    <w:p w14:paraId="0F077DE6" w14:textId="4BAFAB1E" w:rsidR="00D0781E" w:rsidRDefault="00D0781E" w:rsidP="0003445F">
      <w:pPr>
        <w:pStyle w:val="ListParagraph"/>
        <w:numPr>
          <w:ilvl w:val="0"/>
          <w:numId w:val="46"/>
        </w:numPr>
        <w:spacing w:before="240" w:after="0"/>
        <w:rPr>
          <w:rFonts w:ascii="Times New Roman" w:hAnsi="Times New Roman"/>
        </w:rPr>
      </w:pPr>
      <w:r>
        <w:rPr>
          <w:rFonts w:ascii="Times New Roman" w:hAnsi="Times New Roman"/>
        </w:rPr>
        <w:t>General Risk Assessment</w:t>
      </w:r>
    </w:p>
    <w:p w14:paraId="2D448108" w14:textId="3E6C52E8" w:rsidR="00D0781E" w:rsidRDefault="00D0781E" w:rsidP="0003445F">
      <w:pPr>
        <w:pStyle w:val="ListParagraph"/>
        <w:numPr>
          <w:ilvl w:val="0"/>
          <w:numId w:val="46"/>
        </w:numPr>
        <w:spacing w:before="240" w:after="0"/>
        <w:rPr>
          <w:rFonts w:ascii="Times New Roman" w:hAnsi="Times New Roman"/>
        </w:rPr>
      </w:pPr>
      <w:r>
        <w:rPr>
          <w:rFonts w:ascii="Times New Roman" w:hAnsi="Times New Roman"/>
        </w:rPr>
        <w:t>Data Protection policy</w:t>
      </w:r>
    </w:p>
    <w:p w14:paraId="5CB56413" w14:textId="49FB15F9" w:rsidR="00D0781E" w:rsidRDefault="00D0781E" w:rsidP="0003445F">
      <w:pPr>
        <w:pStyle w:val="ListParagraph"/>
        <w:numPr>
          <w:ilvl w:val="0"/>
          <w:numId w:val="46"/>
        </w:numPr>
        <w:spacing w:before="240" w:after="0"/>
        <w:rPr>
          <w:rFonts w:ascii="Times New Roman" w:hAnsi="Times New Roman"/>
        </w:rPr>
      </w:pPr>
      <w:r>
        <w:rPr>
          <w:rFonts w:ascii="Times New Roman" w:hAnsi="Times New Roman"/>
        </w:rPr>
        <w:t>Member &amp; Officer Protocol</w:t>
      </w:r>
    </w:p>
    <w:p w14:paraId="4086D87C" w14:textId="77777777" w:rsidR="003277E9" w:rsidRDefault="003277E9" w:rsidP="003277E9">
      <w:pPr>
        <w:pStyle w:val="ListParagraph"/>
        <w:spacing w:before="240" w:after="0"/>
        <w:ind w:left="1080"/>
        <w:rPr>
          <w:rFonts w:ascii="Times New Roman" w:hAnsi="Times New Roman"/>
        </w:rPr>
      </w:pPr>
    </w:p>
    <w:p w14:paraId="7FD9AE52" w14:textId="0482AAD5" w:rsidR="003277E9" w:rsidRPr="003277E9" w:rsidRDefault="003277E9" w:rsidP="003277E9">
      <w:pPr>
        <w:pStyle w:val="ListParagraph"/>
        <w:numPr>
          <w:ilvl w:val="0"/>
          <w:numId w:val="47"/>
        </w:numPr>
        <w:spacing w:before="240" w:after="0"/>
        <w:rPr>
          <w:rFonts w:ascii="Times New Roman" w:hAnsi="Times New Roman"/>
        </w:rPr>
      </w:pPr>
      <w:r>
        <w:rPr>
          <w:rFonts w:ascii="Times New Roman" w:hAnsi="Times New Roman"/>
        </w:rPr>
        <w:t>To discuss a possible merger of North and South Cliffe Parish Council with Sancton Parish Council.</w:t>
      </w:r>
    </w:p>
    <w:p w14:paraId="2F39EE3F" w14:textId="5C75A1DB" w:rsidR="00815AE9" w:rsidRDefault="00815AE9" w:rsidP="00815AE9">
      <w:pPr>
        <w:pStyle w:val="ListParagraph"/>
        <w:spacing w:before="240" w:after="0"/>
        <w:ind w:left="360"/>
        <w:rPr>
          <w:rFonts w:ascii="Times New Roman" w:hAnsi="Times New Roman"/>
        </w:rPr>
      </w:pPr>
    </w:p>
    <w:p w14:paraId="009F400C" w14:textId="61728F37" w:rsidR="00612216" w:rsidRPr="00BC4A83" w:rsidRDefault="00EC3017" w:rsidP="003277E9">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p>
    <w:p w14:paraId="61D09D9C" w14:textId="1FA1BD63" w:rsidR="0010638C" w:rsidRPr="0010638C" w:rsidRDefault="00612216" w:rsidP="003277E9">
      <w:pPr>
        <w:pStyle w:val="ListParagraph"/>
        <w:numPr>
          <w:ilvl w:val="0"/>
          <w:numId w:val="1"/>
        </w:numPr>
        <w:rPr>
          <w:rFonts w:ascii="Times New Roman" w:hAnsi="Times New Roman"/>
          <w:b/>
          <w:u w:val="single"/>
        </w:rPr>
      </w:pPr>
      <w:r w:rsidRPr="00EC3017">
        <w:rPr>
          <w:rFonts w:ascii="Times New Roman" w:hAnsi="Times New Roman"/>
        </w:rPr>
        <w:t>To note that the next meeting</w:t>
      </w:r>
      <w:r w:rsidR="0010638C">
        <w:rPr>
          <w:rFonts w:ascii="Times New Roman" w:hAnsi="Times New Roman"/>
        </w:rPr>
        <w:t>(s)</w:t>
      </w:r>
      <w:r w:rsidRPr="00EC3017">
        <w:rPr>
          <w:rFonts w:ascii="Times New Roman" w:hAnsi="Times New Roman"/>
        </w:rPr>
        <w:t xml:space="preserve"> of the Parish Council will be held on</w:t>
      </w:r>
      <w:r w:rsidRPr="00EC3017">
        <w:rPr>
          <w:rFonts w:ascii="Times New Roman" w:hAnsi="Times New Roman"/>
          <w:b/>
        </w:rPr>
        <w:t xml:space="preserve"> </w:t>
      </w:r>
      <w:r w:rsidRPr="00EC3017">
        <w:rPr>
          <w:rFonts w:ascii="Times New Roman" w:hAnsi="Times New Roman"/>
        </w:rPr>
        <w:t xml:space="preserve">the </w:t>
      </w:r>
      <w:r w:rsidR="00AC31F8">
        <w:rPr>
          <w:rFonts w:ascii="Times New Roman" w:hAnsi="Times New Roman"/>
        </w:rPr>
        <w:t>11</w:t>
      </w:r>
      <w:r w:rsidR="00AC31F8" w:rsidRPr="00AC31F8">
        <w:rPr>
          <w:rFonts w:ascii="Times New Roman" w:hAnsi="Times New Roman"/>
          <w:vertAlign w:val="superscript"/>
        </w:rPr>
        <w:t>th</w:t>
      </w:r>
      <w:r w:rsidR="00AC31F8">
        <w:rPr>
          <w:rFonts w:ascii="Times New Roman" w:hAnsi="Times New Roman"/>
        </w:rPr>
        <w:t xml:space="preserve"> August 2022.</w:t>
      </w:r>
    </w:p>
    <w:p w14:paraId="4DA7D298" w14:textId="47708E7D" w:rsidR="0010638C" w:rsidRDefault="0010638C" w:rsidP="0010638C">
      <w:pPr>
        <w:pStyle w:val="ListParagraph"/>
        <w:ind w:left="360"/>
        <w:rPr>
          <w:rFonts w:ascii="Times New Roman" w:hAnsi="Times New Roman"/>
        </w:rPr>
      </w:pPr>
    </w:p>
    <w:sectPr w:rsidR="0010638C" w:rsidSect="004F14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0BF7" w14:textId="77777777" w:rsidR="00FA1C17" w:rsidRDefault="00FA1C17" w:rsidP="008E6F71">
      <w:pPr>
        <w:spacing w:after="0"/>
      </w:pPr>
      <w:r>
        <w:separator/>
      </w:r>
    </w:p>
  </w:endnote>
  <w:endnote w:type="continuationSeparator" w:id="0">
    <w:p w14:paraId="1B44745F" w14:textId="77777777" w:rsidR="00FA1C17" w:rsidRDefault="00FA1C17"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10F35" w14:textId="77777777" w:rsidR="00FA1C17" w:rsidRDefault="00FA1C17" w:rsidP="008E6F71">
      <w:pPr>
        <w:spacing w:after="0"/>
      </w:pPr>
      <w:r>
        <w:separator/>
      </w:r>
    </w:p>
  </w:footnote>
  <w:footnote w:type="continuationSeparator" w:id="0">
    <w:p w14:paraId="75DE9E7C" w14:textId="77777777" w:rsidR="00FA1C17" w:rsidRDefault="00FA1C17"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2"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6"/>
  </w:num>
  <w:num w:numId="10" w16cid:durableId="1296528466">
    <w:abstractNumId w:val="15"/>
  </w:num>
  <w:num w:numId="11" w16cid:durableId="763571877">
    <w:abstractNumId w:val="25"/>
  </w:num>
  <w:num w:numId="12" w16cid:durableId="150604789">
    <w:abstractNumId w:val="16"/>
  </w:num>
  <w:num w:numId="13" w16cid:durableId="160437403">
    <w:abstractNumId w:val="42"/>
  </w:num>
  <w:num w:numId="14" w16cid:durableId="424692655">
    <w:abstractNumId w:val="41"/>
  </w:num>
  <w:num w:numId="15" w16cid:durableId="607734392">
    <w:abstractNumId w:val="44"/>
  </w:num>
  <w:num w:numId="16" w16cid:durableId="1427070125">
    <w:abstractNumId w:val="24"/>
  </w:num>
  <w:num w:numId="17" w16cid:durableId="905187440">
    <w:abstractNumId w:val="35"/>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39"/>
  </w:num>
  <w:num w:numId="28" w16cid:durableId="12852431">
    <w:abstractNumId w:val="26"/>
  </w:num>
  <w:num w:numId="29" w16cid:durableId="1965430512">
    <w:abstractNumId w:val="34"/>
  </w:num>
  <w:num w:numId="30" w16cid:durableId="1939874687">
    <w:abstractNumId w:val="19"/>
  </w:num>
  <w:num w:numId="31" w16cid:durableId="501237158">
    <w:abstractNumId w:val="43"/>
  </w:num>
  <w:num w:numId="32" w16cid:durableId="1856143347">
    <w:abstractNumId w:val="22"/>
  </w:num>
  <w:num w:numId="33" w16cid:durableId="1009138854">
    <w:abstractNumId w:val="38"/>
  </w:num>
  <w:num w:numId="34" w16cid:durableId="1582906431">
    <w:abstractNumId w:val="17"/>
  </w:num>
  <w:num w:numId="35" w16cid:durableId="888607775">
    <w:abstractNumId w:val="17"/>
  </w:num>
  <w:num w:numId="36" w16cid:durableId="1288199989">
    <w:abstractNumId w:val="17"/>
  </w:num>
  <w:num w:numId="37" w16cid:durableId="1266883520">
    <w:abstractNumId w:val="40"/>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74"/>
    <w:rsid w:val="000062A1"/>
    <w:rsid w:val="00010BCC"/>
    <w:rsid w:val="00010F12"/>
    <w:rsid w:val="00016D95"/>
    <w:rsid w:val="00022169"/>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F20"/>
    <w:rsid w:val="00063509"/>
    <w:rsid w:val="00063BE8"/>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6BE1"/>
    <w:rsid w:val="000C7C13"/>
    <w:rsid w:val="000D00F8"/>
    <w:rsid w:val="000D031D"/>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20A23"/>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EDC"/>
    <w:rsid w:val="0015748B"/>
    <w:rsid w:val="00162A44"/>
    <w:rsid w:val="00163E93"/>
    <w:rsid w:val="00164C86"/>
    <w:rsid w:val="001660E4"/>
    <w:rsid w:val="00167AF0"/>
    <w:rsid w:val="00172CE9"/>
    <w:rsid w:val="00172DA1"/>
    <w:rsid w:val="00176877"/>
    <w:rsid w:val="00177DA9"/>
    <w:rsid w:val="0018281D"/>
    <w:rsid w:val="0018297E"/>
    <w:rsid w:val="00182C6D"/>
    <w:rsid w:val="00186611"/>
    <w:rsid w:val="00194F58"/>
    <w:rsid w:val="001977E1"/>
    <w:rsid w:val="001A1874"/>
    <w:rsid w:val="001A56A5"/>
    <w:rsid w:val="001A6C61"/>
    <w:rsid w:val="001A79E3"/>
    <w:rsid w:val="001B1C26"/>
    <w:rsid w:val="001B2D5C"/>
    <w:rsid w:val="001B3A13"/>
    <w:rsid w:val="001C08A2"/>
    <w:rsid w:val="001C14FD"/>
    <w:rsid w:val="001C31C0"/>
    <w:rsid w:val="001C4448"/>
    <w:rsid w:val="001D1AA8"/>
    <w:rsid w:val="001D2137"/>
    <w:rsid w:val="001D3A45"/>
    <w:rsid w:val="001D6284"/>
    <w:rsid w:val="001D7B5D"/>
    <w:rsid w:val="001E4926"/>
    <w:rsid w:val="001E5233"/>
    <w:rsid w:val="001E7BD3"/>
    <w:rsid w:val="001F005E"/>
    <w:rsid w:val="001F3EBE"/>
    <w:rsid w:val="001F73B6"/>
    <w:rsid w:val="00201AC6"/>
    <w:rsid w:val="00201CF0"/>
    <w:rsid w:val="00202F1A"/>
    <w:rsid w:val="002044D0"/>
    <w:rsid w:val="002046E0"/>
    <w:rsid w:val="002052D5"/>
    <w:rsid w:val="002079D9"/>
    <w:rsid w:val="00210AA8"/>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99B"/>
    <w:rsid w:val="00291E47"/>
    <w:rsid w:val="0029327E"/>
    <w:rsid w:val="00293702"/>
    <w:rsid w:val="002942EF"/>
    <w:rsid w:val="0029747C"/>
    <w:rsid w:val="00297A52"/>
    <w:rsid w:val="002A1487"/>
    <w:rsid w:val="002A3416"/>
    <w:rsid w:val="002A5243"/>
    <w:rsid w:val="002A5654"/>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3916"/>
    <w:rsid w:val="002F5934"/>
    <w:rsid w:val="002F759D"/>
    <w:rsid w:val="00303564"/>
    <w:rsid w:val="00305693"/>
    <w:rsid w:val="00306401"/>
    <w:rsid w:val="00306A27"/>
    <w:rsid w:val="00313A31"/>
    <w:rsid w:val="0031434F"/>
    <w:rsid w:val="00316C23"/>
    <w:rsid w:val="00316C46"/>
    <w:rsid w:val="00317A7E"/>
    <w:rsid w:val="0032352A"/>
    <w:rsid w:val="003277E9"/>
    <w:rsid w:val="00327966"/>
    <w:rsid w:val="00330AA0"/>
    <w:rsid w:val="00332A0B"/>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76851"/>
    <w:rsid w:val="00377083"/>
    <w:rsid w:val="00377E43"/>
    <w:rsid w:val="00383615"/>
    <w:rsid w:val="0038577F"/>
    <w:rsid w:val="00393C66"/>
    <w:rsid w:val="003952C5"/>
    <w:rsid w:val="00395AEB"/>
    <w:rsid w:val="0039610E"/>
    <w:rsid w:val="003A1BF5"/>
    <w:rsid w:val="003A299F"/>
    <w:rsid w:val="003A59ED"/>
    <w:rsid w:val="003A7389"/>
    <w:rsid w:val="003B1D53"/>
    <w:rsid w:val="003B7160"/>
    <w:rsid w:val="003B71E3"/>
    <w:rsid w:val="003B7D14"/>
    <w:rsid w:val="003C0D79"/>
    <w:rsid w:val="003C3D0F"/>
    <w:rsid w:val="003C42BD"/>
    <w:rsid w:val="003C4437"/>
    <w:rsid w:val="003D0E7C"/>
    <w:rsid w:val="003D1AA9"/>
    <w:rsid w:val="003D3106"/>
    <w:rsid w:val="003E00F7"/>
    <w:rsid w:val="003E259F"/>
    <w:rsid w:val="003E4A7D"/>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7134"/>
    <w:rsid w:val="00407784"/>
    <w:rsid w:val="00411E60"/>
    <w:rsid w:val="00414B5A"/>
    <w:rsid w:val="00415EF5"/>
    <w:rsid w:val="0041627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50DF3"/>
    <w:rsid w:val="00456F37"/>
    <w:rsid w:val="004578A3"/>
    <w:rsid w:val="00460021"/>
    <w:rsid w:val="004618E4"/>
    <w:rsid w:val="00462244"/>
    <w:rsid w:val="00466064"/>
    <w:rsid w:val="004665F0"/>
    <w:rsid w:val="00467DE4"/>
    <w:rsid w:val="0047021D"/>
    <w:rsid w:val="0047162D"/>
    <w:rsid w:val="00471D84"/>
    <w:rsid w:val="004747D3"/>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3639"/>
    <w:rsid w:val="00506778"/>
    <w:rsid w:val="0050743E"/>
    <w:rsid w:val="00510B3D"/>
    <w:rsid w:val="00511F36"/>
    <w:rsid w:val="005169A1"/>
    <w:rsid w:val="00520BA7"/>
    <w:rsid w:val="0052170B"/>
    <w:rsid w:val="00521A55"/>
    <w:rsid w:val="00525445"/>
    <w:rsid w:val="005266C5"/>
    <w:rsid w:val="00530346"/>
    <w:rsid w:val="00530FB2"/>
    <w:rsid w:val="00531193"/>
    <w:rsid w:val="00531E8B"/>
    <w:rsid w:val="005346BF"/>
    <w:rsid w:val="00537D79"/>
    <w:rsid w:val="00543722"/>
    <w:rsid w:val="005450E4"/>
    <w:rsid w:val="00547BB6"/>
    <w:rsid w:val="00550055"/>
    <w:rsid w:val="005528DC"/>
    <w:rsid w:val="005541AD"/>
    <w:rsid w:val="0055715B"/>
    <w:rsid w:val="00557E73"/>
    <w:rsid w:val="00560352"/>
    <w:rsid w:val="00560DB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F84"/>
    <w:rsid w:val="005C57E8"/>
    <w:rsid w:val="005C6216"/>
    <w:rsid w:val="005C6CF1"/>
    <w:rsid w:val="005D153C"/>
    <w:rsid w:val="005D4269"/>
    <w:rsid w:val="005D5A74"/>
    <w:rsid w:val="005D7326"/>
    <w:rsid w:val="005D754D"/>
    <w:rsid w:val="005E3ABA"/>
    <w:rsid w:val="005E3D52"/>
    <w:rsid w:val="005E6C96"/>
    <w:rsid w:val="005E7412"/>
    <w:rsid w:val="005F0696"/>
    <w:rsid w:val="005F33A7"/>
    <w:rsid w:val="005F455D"/>
    <w:rsid w:val="00600A61"/>
    <w:rsid w:val="00602FE9"/>
    <w:rsid w:val="006048C9"/>
    <w:rsid w:val="00605115"/>
    <w:rsid w:val="00605A36"/>
    <w:rsid w:val="00610F05"/>
    <w:rsid w:val="006111BB"/>
    <w:rsid w:val="00612216"/>
    <w:rsid w:val="0061362D"/>
    <w:rsid w:val="0061400F"/>
    <w:rsid w:val="00614114"/>
    <w:rsid w:val="00616206"/>
    <w:rsid w:val="006171E1"/>
    <w:rsid w:val="00620813"/>
    <w:rsid w:val="006213EC"/>
    <w:rsid w:val="00626159"/>
    <w:rsid w:val="006305AE"/>
    <w:rsid w:val="006320D8"/>
    <w:rsid w:val="006350E2"/>
    <w:rsid w:val="006359C0"/>
    <w:rsid w:val="00635A67"/>
    <w:rsid w:val="006402C9"/>
    <w:rsid w:val="00641F24"/>
    <w:rsid w:val="00643BE8"/>
    <w:rsid w:val="006444EA"/>
    <w:rsid w:val="0064500B"/>
    <w:rsid w:val="00652C34"/>
    <w:rsid w:val="00652E33"/>
    <w:rsid w:val="00653D73"/>
    <w:rsid w:val="00654580"/>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6249"/>
    <w:rsid w:val="00694627"/>
    <w:rsid w:val="00697EB5"/>
    <w:rsid w:val="006A0CB7"/>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3A60"/>
    <w:rsid w:val="007863FB"/>
    <w:rsid w:val="0079318C"/>
    <w:rsid w:val="0079415C"/>
    <w:rsid w:val="0079459D"/>
    <w:rsid w:val="00794AC4"/>
    <w:rsid w:val="00794F2E"/>
    <w:rsid w:val="007952B4"/>
    <w:rsid w:val="0079599A"/>
    <w:rsid w:val="007A282A"/>
    <w:rsid w:val="007A2DDD"/>
    <w:rsid w:val="007A3C76"/>
    <w:rsid w:val="007A54EE"/>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32E7"/>
    <w:rsid w:val="00815AE9"/>
    <w:rsid w:val="00816555"/>
    <w:rsid w:val="00817C07"/>
    <w:rsid w:val="00820042"/>
    <w:rsid w:val="008212AC"/>
    <w:rsid w:val="00821ACB"/>
    <w:rsid w:val="00821DA5"/>
    <w:rsid w:val="0082253B"/>
    <w:rsid w:val="008227DB"/>
    <w:rsid w:val="00822AC8"/>
    <w:rsid w:val="00824F44"/>
    <w:rsid w:val="00827007"/>
    <w:rsid w:val="008272DF"/>
    <w:rsid w:val="00827BA7"/>
    <w:rsid w:val="00835002"/>
    <w:rsid w:val="00836051"/>
    <w:rsid w:val="008369FC"/>
    <w:rsid w:val="008379AD"/>
    <w:rsid w:val="00845FEA"/>
    <w:rsid w:val="008501ED"/>
    <w:rsid w:val="00851B55"/>
    <w:rsid w:val="00852D89"/>
    <w:rsid w:val="00855165"/>
    <w:rsid w:val="0085587B"/>
    <w:rsid w:val="00855AA6"/>
    <w:rsid w:val="008565BD"/>
    <w:rsid w:val="0086141F"/>
    <w:rsid w:val="00867474"/>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B0027"/>
    <w:rsid w:val="008B07ED"/>
    <w:rsid w:val="008B2099"/>
    <w:rsid w:val="008B4196"/>
    <w:rsid w:val="008B7569"/>
    <w:rsid w:val="008B77F6"/>
    <w:rsid w:val="008C1749"/>
    <w:rsid w:val="008C3039"/>
    <w:rsid w:val="008C4557"/>
    <w:rsid w:val="008C4F49"/>
    <w:rsid w:val="008D0221"/>
    <w:rsid w:val="008D4794"/>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78D4"/>
    <w:rsid w:val="009100DC"/>
    <w:rsid w:val="0091299D"/>
    <w:rsid w:val="009159E0"/>
    <w:rsid w:val="00916633"/>
    <w:rsid w:val="00917B26"/>
    <w:rsid w:val="009223B2"/>
    <w:rsid w:val="009272BC"/>
    <w:rsid w:val="0093315A"/>
    <w:rsid w:val="009335F0"/>
    <w:rsid w:val="00934400"/>
    <w:rsid w:val="00936E50"/>
    <w:rsid w:val="00946C27"/>
    <w:rsid w:val="00950BBE"/>
    <w:rsid w:val="00950CE5"/>
    <w:rsid w:val="00951022"/>
    <w:rsid w:val="00951343"/>
    <w:rsid w:val="00951B4E"/>
    <w:rsid w:val="0095270F"/>
    <w:rsid w:val="009541BF"/>
    <w:rsid w:val="00954430"/>
    <w:rsid w:val="0095630D"/>
    <w:rsid w:val="009563B8"/>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A0B69"/>
    <w:rsid w:val="009A2375"/>
    <w:rsid w:val="009A2C07"/>
    <w:rsid w:val="009A2C4F"/>
    <w:rsid w:val="009A69CB"/>
    <w:rsid w:val="009B1D66"/>
    <w:rsid w:val="009B4BDD"/>
    <w:rsid w:val="009C1B1E"/>
    <w:rsid w:val="009C1FD7"/>
    <w:rsid w:val="009C3DDE"/>
    <w:rsid w:val="009C51D7"/>
    <w:rsid w:val="009C5D0A"/>
    <w:rsid w:val="009D00FC"/>
    <w:rsid w:val="009D2D38"/>
    <w:rsid w:val="009D571D"/>
    <w:rsid w:val="009D5A29"/>
    <w:rsid w:val="009E0769"/>
    <w:rsid w:val="009E0D01"/>
    <w:rsid w:val="009E174B"/>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7449"/>
    <w:rsid w:val="00A202C4"/>
    <w:rsid w:val="00A209C3"/>
    <w:rsid w:val="00A235C6"/>
    <w:rsid w:val="00A243C9"/>
    <w:rsid w:val="00A2666B"/>
    <w:rsid w:val="00A26A0D"/>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40F8"/>
    <w:rsid w:val="00A55DB7"/>
    <w:rsid w:val="00A564A4"/>
    <w:rsid w:val="00A57629"/>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9075E"/>
    <w:rsid w:val="00A92A06"/>
    <w:rsid w:val="00A949B8"/>
    <w:rsid w:val="00A961EA"/>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25ED"/>
    <w:rsid w:val="00AD39F3"/>
    <w:rsid w:val="00AD6B9F"/>
    <w:rsid w:val="00AD78A2"/>
    <w:rsid w:val="00AE0159"/>
    <w:rsid w:val="00AE08FA"/>
    <w:rsid w:val="00AE0C10"/>
    <w:rsid w:val="00AE27E2"/>
    <w:rsid w:val="00AE377C"/>
    <w:rsid w:val="00AE57A8"/>
    <w:rsid w:val="00AE739E"/>
    <w:rsid w:val="00AE7CC6"/>
    <w:rsid w:val="00AF2BCD"/>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F17"/>
    <w:rsid w:val="00B3352A"/>
    <w:rsid w:val="00B33DE8"/>
    <w:rsid w:val="00B35F4B"/>
    <w:rsid w:val="00B3623B"/>
    <w:rsid w:val="00B36397"/>
    <w:rsid w:val="00B36A3F"/>
    <w:rsid w:val="00B40C5B"/>
    <w:rsid w:val="00B40FF9"/>
    <w:rsid w:val="00B424C4"/>
    <w:rsid w:val="00B43124"/>
    <w:rsid w:val="00B4484B"/>
    <w:rsid w:val="00B44959"/>
    <w:rsid w:val="00B47658"/>
    <w:rsid w:val="00B47BB8"/>
    <w:rsid w:val="00B543AF"/>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CE5"/>
    <w:rsid w:val="00BD4F3D"/>
    <w:rsid w:val="00BD6760"/>
    <w:rsid w:val="00BD7F6E"/>
    <w:rsid w:val="00BE0028"/>
    <w:rsid w:val="00BE27A5"/>
    <w:rsid w:val="00BE4B44"/>
    <w:rsid w:val="00BE4C83"/>
    <w:rsid w:val="00BE641C"/>
    <w:rsid w:val="00BE7FD1"/>
    <w:rsid w:val="00BF21F0"/>
    <w:rsid w:val="00BF265A"/>
    <w:rsid w:val="00BF2DE5"/>
    <w:rsid w:val="00BF34EA"/>
    <w:rsid w:val="00BF3E41"/>
    <w:rsid w:val="00BF45BC"/>
    <w:rsid w:val="00C012A9"/>
    <w:rsid w:val="00C0375D"/>
    <w:rsid w:val="00C04D34"/>
    <w:rsid w:val="00C05481"/>
    <w:rsid w:val="00C0685E"/>
    <w:rsid w:val="00C06D12"/>
    <w:rsid w:val="00C11434"/>
    <w:rsid w:val="00C1385E"/>
    <w:rsid w:val="00C13B34"/>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B41"/>
    <w:rsid w:val="00C63886"/>
    <w:rsid w:val="00C64163"/>
    <w:rsid w:val="00C66794"/>
    <w:rsid w:val="00C74519"/>
    <w:rsid w:val="00C7554E"/>
    <w:rsid w:val="00C77ADE"/>
    <w:rsid w:val="00C80DCA"/>
    <w:rsid w:val="00C8126D"/>
    <w:rsid w:val="00C82AE3"/>
    <w:rsid w:val="00C83663"/>
    <w:rsid w:val="00C841A2"/>
    <w:rsid w:val="00C84533"/>
    <w:rsid w:val="00C84DAD"/>
    <w:rsid w:val="00C9067E"/>
    <w:rsid w:val="00C94506"/>
    <w:rsid w:val="00C952CC"/>
    <w:rsid w:val="00C96384"/>
    <w:rsid w:val="00C97F4D"/>
    <w:rsid w:val="00CA2D6B"/>
    <w:rsid w:val="00CA2FC4"/>
    <w:rsid w:val="00CA4F29"/>
    <w:rsid w:val="00CB06BF"/>
    <w:rsid w:val="00CB2807"/>
    <w:rsid w:val="00CB2838"/>
    <w:rsid w:val="00CB3A2E"/>
    <w:rsid w:val="00CB5F07"/>
    <w:rsid w:val="00CC188A"/>
    <w:rsid w:val="00CC3CD2"/>
    <w:rsid w:val="00CC5250"/>
    <w:rsid w:val="00CC52ED"/>
    <w:rsid w:val="00CC5E65"/>
    <w:rsid w:val="00CC7C39"/>
    <w:rsid w:val="00CD028C"/>
    <w:rsid w:val="00CD1D75"/>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36D8"/>
    <w:rsid w:val="00D45201"/>
    <w:rsid w:val="00D473B6"/>
    <w:rsid w:val="00D55175"/>
    <w:rsid w:val="00D61077"/>
    <w:rsid w:val="00D62FA5"/>
    <w:rsid w:val="00D63351"/>
    <w:rsid w:val="00D64A08"/>
    <w:rsid w:val="00D65DB3"/>
    <w:rsid w:val="00D66035"/>
    <w:rsid w:val="00D661DF"/>
    <w:rsid w:val="00D71922"/>
    <w:rsid w:val="00D721ED"/>
    <w:rsid w:val="00D73E9B"/>
    <w:rsid w:val="00D76225"/>
    <w:rsid w:val="00D8138E"/>
    <w:rsid w:val="00D839EF"/>
    <w:rsid w:val="00D869EE"/>
    <w:rsid w:val="00D86EB0"/>
    <w:rsid w:val="00D87667"/>
    <w:rsid w:val="00D87FA5"/>
    <w:rsid w:val="00D94825"/>
    <w:rsid w:val="00D95CC9"/>
    <w:rsid w:val="00DA408A"/>
    <w:rsid w:val="00DA5B64"/>
    <w:rsid w:val="00DB03DA"/>
    <w:rsid w:val="00DB069D"/>
    <w:rsid w:val="00DB3C70"/>
    <w:rsid w:val="00DB6E9E"/>
    <w:rsid w:val="00DC0AD4"/>
    <w:rsid w:val="00DC164F"/>
    <w:rsid w:val="00DC1906"/>
    <w:rsid w:val="00DC53A0"/>
    <w:rsid w:val="00DC71C8"/>
    <w:rsid w:val="00DD07D3"/>
    <w:rsid w:val="00DD0836"/>
    <w:rsid w:val="00DD1838"/>
    <w:rsid w:val="00DD24D5"/>
    <w:rsid w:val="00DE2125"/>
    <w:rsid w:val="00DE3210"/>
    <w:rsid w:val="00DE3653"/>
    <w:rsid w:val="00DE3F5E"/>
    <w:rsid w:val="00DE5463"/>
    <w:rsid w:val="00DE5DD9"/>
    <w:rsid w:val="00DE72C2"/>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4DF8"/>
    <w:rsid w:val="00E16208"/>
    <w:rsid w:val="00E175DD"/>
    <w:rsid w:val="00E222B5"/>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A7F"/>
    <w:rsid w:val="00E64AC6"/>
    <w:rsid w:val="00E67071"/>
    <w:rsid w:val="00E72698"/>
    <w:rsid w:val="00E80541"/>
    <w:rsid w:val="00E83D31"/>
    <w:rsid w:val="00E86164"/>
    <w:rsid w:val="00E864A3"/>
    <w:rsid w:val="00E93E52"/>
    <w:rsid w:val="00E95855"/>
    <w:rsid w:val="00E96689"/>
    <w:rsid w:val="00EA1B99"/>
    <w:rsid w:val="00EA1C02"/>
    <w:rsid w:val="00EA309B"/>
    <w:rsid w:val="00EA32B5"/>
    <w:rsid w:val="00EA51BE"/>
    <w:rsid w:val="00EA5DAE"/>
    <w:rsid w:val="00EB5A20"/>
    <w:rsid w:val="00EB7679"/>
    <w:rsid w:val="00EC0232"/>
    <w:rsid w:val="00EC2C99"/>
    <w:rsid w:val="00EC3017"/>
    <w:rsid w:val="00EC5CDA"/>
    <w:rsid w:val="00ED17F9"/>
    <w:rsid w:val="00ED217C"/>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75"/>
    <w:rsid w:val="00F030AD"/>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DD"/>
    <w:rsid w:val="00F33FEB"/>
    <w:rsid w:val="00F3725E"/>
    <w:rsid w:val="00F42F27"/>
    <w:rsid w:val="00F440B2"/>
    <w:rsid w:val="00F4557E"/>
    <w:rsid w:val="00F51AFD"/>
    <w:rsid w:val="00F5292C"/>
    <w:rsid w:val="00F563A9"/>
    <w:rsid w:val="00F567C5"/>
    <w:rsid w:val="00F5699A"/>
    <w:rsid w:val="00F608AF"/>
    <w:rsid w:val="00F6090A"/>
    <w:rsid w:val="00F62E96"/>
    <w:rsid w:val="00F6693C"/>
    <w:rsid w:val="00F67ADA"/>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C8B"/>
    <w:rsid w:val="00FC0FAD"/>
    <w:rsid w:val="00FC1452"/>
    <w:rsid w:val="00FC2935"/>
    <w:rsid w:val="00FC2CD0"/>
    <w:rsid w:val="00FC452B"/>
    <w:rsid w:val="00FD1FCF"/>
    <w:rsid w:val="00FD418E"/>
    <w:rsid w:val="00FD55B9"/>
    <w:rsid w:val="00FD5AA5"/>
    <w:rsid w:val="00FD5C49"/>
    <w:rsid w:val="00FE638E"/>
    <w:rsid w:val="00FE781E"/>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7483</TotalTime>
  <Pages>1</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North and South Cliffe Parish Council</cp:lastModifiedBy>
  <cp:revision>12</cp:revision>
  <cp:lastPrinted>2015-08-28T07:59:00Z</cp:lastPrinted>
  <dcterms:created xsi:type="dcterms:W3CDTF">2022-04-14T20:42:00Z</dcterms:created>
  <dcterms:modified xsi:type="dcterms:W3CDTF">2022-05-05T20:46:00Z</dcterms:modified>
</cp:coreProperties>
</file>